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27" w:rsidRDefault="00746CD3" w:rsidP="00425E1A">
      <w:pPr>
        <w:pStyle w:val="Standard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ab/>
      </w:r>
      <w:r>
        <w:rPr>
          <w:rFonts w:eastAsia="Times New Roman"/>
          <w:lang w:eastAsia="lv-LV"/>
        </w:rPr>
        <w:tab/>
      </w:r>
      <w:r>
        <w:rPr>
          <w:rFonts w:eastAsia="Times New Roman"/>
          <w:lang w:eastAsia="lv-LV"/>
        </w:rPr>
        <w:tab/>
      </w:r>
      <w:r>
        <w:rPr>
          <w:rFonts w:eastAsia="Times New Roman"/>
          <w:lang w:eastAsia="lv-LV"/>
        </w:rPr>
        <w:tab/>
      </w:r>
      <w:r>
        <w:rPr>
          <w:rFonts w:eastAsia="Times New Roman"/>
          <w:lang w:eastAsia="lv-LV"/>
        </w:rPr>
        <w:tab/>
      </w:r>
      <w:r>
        <w:rPr>
          <w:rFonts w:eastAsia="Times New Roman"/>
          <w:lang w:eastAsia="lv-LV"/>
        </w:rPr>
        <w:t xml:space="preserve">              </w:t>
      </w:r>
    </w:p>
    <w:p w:rsidR="00EB5027" w:rsidRDefault="00746CD3">
      <w:pPr>
        <w:pStyle w:val="Standard"/>
        <w:jc w:val="right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                                                 </w:t>
      </w:r>
    </w:p>
    <w:p w:rsidR="00EB5027" w:rsidRDefault="00746CD3">
      <w:pPr>
        <w:pStyle w:val="Standard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ab/>
      </w:r>
      <w:r>
        <w:rPr>
          <w:rFonts w:eastAsia="Times New Roman"/>
          <w:lang w:eastAsia="lv-LV"/>
        </w:rPr>
        <w:tab/>
      </w:r>
      <w:r>
        <w:rPr>
          <w:rFonts w:eastAsia="Times New Roman"/>
          <w:lang w:eastAsia="lv-LV"/>
        </w:rPr>
        <w:tab/>
      </w:r>
      <w:r>
        <w:rPr>
          <w:rFonts w:eastAsia="Times New Roman"/>
          <w:lang w:eastAsia="lv-LV"/>
        </w:rPr>
        <w:tab/>
        <w:t xml:space="preserve">         </w:t>
      </w:r>
    </w:p>
    <w:p w:rsidR="00EB5027" w:rsidRDefault="00524DE5">
      <w:pPr>
        <w:pStyle w:val="Standard"/>
        <w:jc w:val="center"/>
      </w:pPr>
      <w:r w:rsidRPr="00425E1A">
        <w:rPr>
          <w:rFonts w:eastAsia="Times New Roman"/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2898826</wp:posOffset>
            </wp:positionH>
            <wp:positionV relativeFrom="paragraph">
              <wp:posOffset>9525</wp:posOffset>
            </wp:positionV>
            <wp:extent cx="771525" cy="881438"/>
            <wp:effectExtent l="0" t="0" r="0" b="0"/>
            <wp:wrapNone/>
            <wp:docPr id="5" name="Picture 5" descr="C:\Users\dome\Desktop\viskautkas\1200px-Coat_of_Arms_of_Ikšķi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\Desktop\viskautkas\1200px-Coat_of_Arms_of_Ikšķil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E1A" w:rsidRDefault="00425E1A">
      <w:pPr>
        <w:pStyle w:val="Standard"/>
        <w:jc w:val="center"/>
        <w:rPr>
          <w:b/>
        </w:rPr>
      </w:pPr>
    </w:p>
    <w:p w:rsidR="00425E1A" w:rsidRDefault="00425E1A">
      <w:pPr>
        <w:pStyle w:val="Standard"/>
        <w:jc w:val="center"/>
        <w:rPr>
          <w:b/>
        </w:rPr>
      </w:pPr>
    </w:p>
    <w:p w:rsidR="00425E1A" w:rsidRDefault="00425E1A">
      <w:pPr>
        <w:pStyle w:val="Standard"/>
        <w:jc w:val="center"/>
        <w:rPr>
          <w:b/>
        </w:rPr>
      </w:pPr>
      <w:bookmarkStart w:id="0" w:name="_GoBack"/>
      <w:bookmarkEnd w:id="0"/>
    </w:p>
    <w:p w:rsidR="00524DE5" w:rsidRDefault="00524DE5" w:rsidP="00524DE5">
      <w:pPr>
        <w:pStyle w:val="Standard"/>
        <w:rPr>
          <w:b/>
        </w:rPr>
      </w:pPr>
    </w:p>
    <w:p w:rsidR="00EB5027" w:rsidRDefault="00746CD3">
      <w:pPr>
        <w:pStyle w:val="Standard"/>
        <w:jc w:val="center"/>
        <w:rPr>
          <w:b/>
        </w:rPr>
      </w:pPr>
      <w:r>
        <w:rPr>
          <w:b/>
        </w:rPr>
        <w:t>Ikšķiles Šaha rudens-2022</w:t>
      </w:r>
    </w:p>
    <w:p w:rsidR="00EB5027" w:rsidRDefault="00746CD3">
      <w:pPr>
        <w:pStyle w:val="Standard"/>
        <w:jc w:val="center"/>
        <w:rPr>
          <w:b/>
        </w:rPr>
      </w:pPr>
      <w:r>
        <w:rPr>
          <w:b/>
        </w:rPr>
        <w:t>NOLIKUMS</w:t>
      </w:r>
    </w:p>
    <w:p w:rsidR="00EB5027" w:rsidRDefault="00746CD3" w:rsidP="00425E1A">
      <w:pPr>
        <w:pStyle w:val="Standard"/>
        <w:numPr>
          <w:ilvl w:val="0"/>
          <w:numId w:val="1"/>
        </w:numPr>
        <w:jc w:val="both"/>
      </w:pPr>
      <w:r>
        <w:rPr>
          <w:b/>
        </w:rPr>
        <w:t>Mērķis:</w:t>
      </w:r>
      <w:r>
        <w:t xml:space="preserve"> Noskaidrot spēcīgākos šahistus.</w:t>
      </w:r>
      <w:r>
        <w:t xml:space="preserve"> Popularizēt šahu </w:t>
      </w:r>
      <w:r w:rsidR="00425E1A">
        <w:t>Ogres novadā</w:t>
      </w:r>
      <w:r>
        <w:t>.</w:t>
      </w:r>
    </w:p>
    <w:p w:rsidR="00EB5027" w:rsidRDefault="00746CD3" w:rsidP="00425E1A">
      <w:pPr>
        <w:pStyle w:val="Standard"/>
        <w:numPr>
          <w:ilvl w:val="0"/>
          <w:numId w:val="1"/>
        </w:numPr>
        <w:jc w:val="both"/>
      </w:pPr>
      <w:r>
        <w:rPr>
          <w:b/>
        </w:rPr>
        <w:t xml:space="preserve">Organizatori: </w:t>
      </w:r>
      <w:r w:rsidR="00425E1A">
        <w:t>Ogres novada sporta centrs</w:t>
      </w:r>
      <w:r>
        <w:t xml:space="preserve"> sadarbībā ar Latvijas Šaha Fed</w:t>
      </w:r>
      <w:r>
        <w:t>erāciju.</w:t>
      </w:r>
    </w:p>
    <w:p w:rsidR="00EB5027" w:rsidRDefault="00746CD3" w:rsidP="00425E1A">
      <w:pPr>
        <w:pStyle w:val="NoSpacing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Tiesneši: </w:t>
      </w:r>
      <w:r>
        <w:rPr>
          <w:rFonts w:ascii="Times New Roman" w:hAnsi="Times New Roman" w:cs="Times New Roman"/>
          <w:sz w:val="24"/>
          <w:szCs w:val="24"/>
        </w:rPr>
        <w:t xml:space="preserve">Galvenais tiesnesis: Aivars Laizāns (IA), e-pasts: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aivars7805@inbox.lv</w:t>
        </w:r>
      </w:hyperlink>
      <w:r w:rsidR="00425E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26498488.</w:t>
      </w:r>
    </w:p>
    <w:p w:rsidR="00EB5027" w:rsidRDefault="00746CD3" w:rsidP="00425E1A">
      <w:pPr>
        <w:pStyle w:val="Standard"/>
        <w:numPr>
          <w:ilvl w:val="0"/>
          <w:numId w:val="1"/>
        </w:numPr>
        <w:jc w:val="both"/>
      </w:pPr>
      <w:r>
        <w:rPr>
          <w:b/>
        </w:rPr>
        <w:t>Sacensību norises vieta un izcīņas kārtība:</w:t>
      </w:r>
      <w:r w:rsidR="00425E1A">
        <w:t xml:space="preserve"> Ikšķiles tautas nams</w:t>
      </w:r>
      <w:r>
        <w:t>, Ikšķile</w:t>
      </w:r>
      <w:r w:rsidR="00425E1A">
        <w:t xml:space="preserve">. </w:t>
      </w:r>
      <w:r>
        <w:t>2022.</w:t>
      </w:r>
      <w:r w:rsidR="00425E1A">
        <w:t xml:space="preserve"> </w:t>
      </w:r>
      <w:r>
        <w:t>gada 16.</w:t>
      </w:r>
      <w:r w:rsidR="00425E1A">
        <w:t xml:space="preserve"> </w:t>
      </w:r>
      <w:r>
        <w:t>oktobr</w:t>
      </w:r>
      <w:r>
        <w:t>is (svētdiena).</w:t>
      </w:r>
    </w:p>
    <w:p w:rsidR="00EB5027" w:rsidRDefault="00746CD3" w:rsidP="00425E1A">
      <w:pPr>
        <w:pStyle w:val="Standard"/>
        <w:numPr>
          <w:ilvl w:val="0"/>
          <w:numId w:val="1"/>
        </w:numPr>
        <w:jc w:val="both"/>
        <w:rPr>
          <w:b/>
        </w:rPr>
      </w:pPr>
      <w:r>
        <w:rPr>
          <w:b/>
        </w:rPr>
        <w:t>Sacensību norises kārtība:</w:t>
      </w:r>
    </w:p>
    <w:p w:rsidR="00EB5027" w:rsidRDefault="00425E1A" w:rsidP="00425E1A">
      <w:pPr>
        <w:pStyle w:val="Standard"/>
        <w:numPr>
          <w:ilvl w:val="1"/>
          <w:numId w:val="1"/>
        </w:numPr>
        <w:jc w:val="both"/>
      </w:pPr>
      <w:r w:rsidRPr="00425E1A">
        <w:rPr>
          <w:b/>
        </w:rPr>
        <w:t xml:space="preserve"> Reģistrācija</w:t>
      </w:r>
      <w:r>
        <w:t>: 10:30 – 10:55;</w:t>
      </w:r>
    </w:p>
    <w:p w:rsidR="00EB5027" w:rsidRPr="00425E1A" w:rsidRDefault="00425E1A" w:rsidP="00425E1A">
      <w:pPr>
        <w:pStyle w:val="Standard"/>
        <w:numPr>
          <w:ilvl w:val="1"/>
          <w:numId w:val="1"/>
        </w:numPr>
        <w:jc w:val="both"/>
      </w:pPr>
      <w:r>
        <w:t xml:space="preserve"> </w:t>
      </w:r>
      <w:r w:rsidRPr="00425E1A">
        <w:rPr>
          <w:b/>
        </w:rPr>
        <w:t>Sacensību atklāšana</w:t>
      </w:r>
      <w:r>
        <w:t xml:space="preserve">: </w:t>
      </w:r>
      <w:r w:rsidR="00746CD3">
        <w:t>10:55 – 11:00</w:t>
      </w:r>
      <w:r>
        <w:rPr>
          <w:b/>
        </w:rPr>
        <w:t>;</w:t>
      </w:r>
    </w:p>
    <w:p w:rsidR="00EB5027" w:rsidRPr="00425E1A" w:rsidRDefault="00425E1A" w:rsidP="00425E1A">
      <w:pPr>
        <w:pStyle w:val="Standard"/>
        <w:numPr>
          <w:ilvl w:val="1"/>
          <w:numId w:val="1"/>
        </w:numPr>
        <w:jc w:val="both"/>
      </w:pPr>
      <w:r>
        <w:t xml:space="preserve"> </w:t>
      </w:r>
      <w:r w:rsidRPr="00425E1A">
        <w:rPr>
          <w:b/>
        </w:rPr>
        <w:t>1.-8. kārta</w:t>
      </w:r>
      <w:r>
        <w:t xml:space="preserve">: </w:t>
      </w:r>
      <w:r w:rsidR="00746CD3">
        <w:t>11:00 – 16:00</w:t>
      </w:r>
      <w:r>
        <w:rPr>
          <w:b/>
        </w:rPr>
        <w:t>;</w:t>
      </w:r>
    </w:p>
    <w:p w:rsidR="00EB5027" w:rsidRDefault="00425E1A" w:rsidP="00425E1A">
      <w:pPr>
        <w:pStyle w:val="Standard"/>
        <w:numPr>
          <w:ilvl w:val="1"/>
          <w:numId w:val="1"/>
        </w:numPr>
        <w:jc w:val="both"/>
      </w:pPr>
      <w:r>
        <w:t xml:space="preserve"> </w:t>
      </w:r>
      <w:r w:rsidRPr="00425E1A">
        <w:rPr>
          <w:b/>
        </w:rPr>
        <w:t>Sacensību noslēgums/apbalvošana</w:t>
      </w:r>
      <w:r>
        <w:t xml:space="preserve">: </w:t>
      </w:r>
      <w:r w:rsidR="00746CD3">
        <w:t>16:00 – 16:30</w:t>
      </w:r>
      <w:r>
        <w:rPr>
          <w:b/>
        </w:rPr>
        <w:t>.</w:t>
      </w:r>
    </w:p>
    <w:p w:rsidR="00524DE5" w:rsidRPr="00524DE5" w:rsidRDefault="00746CD3" w:rsidP="00524DE5">
      <w:pPr>
        <w:pStyle w:val="Standard"/>
        <w:numPr>
          <w:ilvl w:val="0"/>
          <w:numId w:val="1"/>
        </w:numPr>
        <w:jc w:val="both"/>
      </w:pPr>
      <w:r>
        <w:rPr>
          <w:b/>
        </w:rPr>
        <w:t xml:space="preserve">Izcīņas kārtība un laika kontrole: </w:t>
      </w:r>
    </w:p>
    <w:p w:rsidR="00524DE5" w:rsidRDefault="00746CD3" w:rsidP="00524DE5">
      <w:pPr>
        <w:pStyle w:val="Standard"/>
        <w:numPr>
          <w:ilvl w:val="1"/>
          <w:numId w:val="1"/>
        </w:numPr>
        <w:jc w:val="both"/>
      </w:pPr>
      <w:r w:rsidRPr="00524DE5">
        <w:t>Turnīrs notiek pēc Šveices si</w:t>
      </w:r>
      <w:r w:rsidR="00524DE5">
        <w:t>stēmas 8 kārtās, FIDE noteikumi;</w:t>
      </w:r>
    </w:p>
    <w:p w:rsidR="00EB5027" w:rsidRPr="00524DE5" w:rsidRDefault="00746CD3" w:rsidP="00524DE5">
      <w:pPr>
        <w:pStyle w:val="Standard"/>
        <w:numPr>
          <w:ilvl w:val="1"/>
          <w:numId w:val="1"/>
        </w:numPr>
        <w:jc w:val="both"/>
      </w:pPr>
      <w:r w:rsidRPr="00524DE5">
        <w:t xml:space="preserve"> </w:t>
      </w:r>
      <w:r w:rsidRPr="00524DE5">
        <w:t>Turnīrā tiks aprēķināts FIDE ātrā šaha reitings</w:t>
      </w:r>
      <w:r w:rsidRPr="00524DE5">
        <w:t xml:space="preserve">. </w:t>
      </w:r>
      <w:r w:rsidRPr="00524DE5">
        <w:t xml:space="preserve">10 min + 5 sek.(10+5) </w:t>
      </w:r>
      <w:r w:rsidR="00524DE5">
        <w:t>par katru gājienu</w:t>
      </w:r>
      <w:r w:rsidRPr="00524DE5">
        <w:t xml:space="preserve"> 8 kārtas.</w:t>
      </w:r>
    </w:p>
    <w:p w:rsidR="00425E1A" w:rsidRDefault="00746CD3" w:rsidP="00425E1A">
      <w:pPr>
        <w:pStyle w:val="Standard"/>
        <w:numPr>
          <w:ilvl w:val="0"/>
          <w:numId w:val="1"/>
        </w:numPr>
        <w:jc w:val="both"/>
      </w:pPr>
      <w:r>
        <w:rPr>
          <w:b/>
        </w:rPr>
        <w:t>Dalībnieki un dalības maksa:</w:t>
      </w:r>
      <w:r>
        <w:t xml:space="preserve"> </w:t>
      </w:r>
    </w:p>
    <w:p w:rsidR="00425E1A" w:rsidRDefault="00746CD3" w:rsidP="00425E1A">
      <w:pPr>
        <w:pStyle w:val="Standard"/>
        <w:numPr>
          <w:ilvl w:val="1"/>
          <w:numId w:val="1"/>
        </w:numPr>
        <w:jc w:val="both"/>
      </w:pPr>
      <w:r>
        <w:t>Tiek aicināti visi šaha intere</w:t>
      </w:r>
      <w:r w:rsidR="00425E1A">
        <w:t>santi, sākot ar 2.sporta klasi;</w:t>
      </w:r>
    </w:p>
    <w:p w:rsidR="00425E1A" w:rsidRPr="00425E1A" w:rsidRDefault="00746CD3" w:rsidP="00425E1A">
      <w:pPr>
        <w:pStyle w:val="Standard"/>
        <w:numPr>
          <w:ilvl w:val="1"/>
          <w:numId w:val="1"/>
        </w:numPr>
        <w:jc w:val="both"/>
      </w:pPr>
      <w:r>
        <w:t xml:space="preserve">Dalības maksa – </w:t>
      </w:r>
      <w:r>
        <w:rPr>
          <w:b/>
          <w:bCs/>
        </w:rPr>
        <w:t>7</w:t>
      </w:r>
      <w:r>
        <w:rPr>
          <w:b/>
          <w:bCs/>
          <w:u w:val="single"/>
        </w:rPr>
        <w:t xml:space="preserve"> </w:t>
      </w:r>
      <w:r w:rsidR="00425E1A">
        <w:rPr>
          <w:b/>
          <w:u w:val="single"/>
        </w:rPr>
        <w:t>EUR;</w:t>
      </w:r>
    </w:p>
    <w:p w:rsidR="00EB5027" w:rsidRDefault="00746CD3" w:rsidP="00425E1A">
      <w:pPr>
        <w:pStyle w:val="Standard"/>
        <w:numPr>
          <w:ilvl w:val="1"/>
          <w:numId w:val="1"/>
        </w:numPr>
        <w:jc w:val="both"/>
      </w:pPr>
      <w:r w:rsidRPr="00524DE5">
        <w:t>S-65 un vecākiem</w:t>
      </w:r>
      <w:r w:rsidR="00524DE5" w:rsidRPr="00524DE5">
        <w:t>, kā arī</w:t>
      </w:r>
      <w:r w:rsidRPr="00524DE5">
        <w:t xml:space="preserve"> </w:t>
      </w:r>
      <w:r w:rsidRPr="00524DE5">
        <w:t>Ogres novada iedzīvotājiem</w:t>
      </w:r>
      <w:r w:rsidRPr="00425E1A">
        <w:rPr>
          <w:b/>
        </w:rPr>
        <w:t xml:space="preserve"> – 5</w:t>
      </w:r>
      <w:r w:rsidRPr="00425E1A">
        <w:rPr>
          <w:b/>
          <w:u w:val="single"/>
        </w:rPr>
        <w:t xml:space="preserve"> EUR.</w:t>
      </w:r>
    </w:p>
    <w:p w:rsidR="00EB5027" w:rsidRDefault="00746CD3" w:rsidP="00425E1A">
      <w:pPr>
        <w:pStyle w:val="Standard"/>
        <w:numPr>
          <w:ilvl w:val="0"/>
          <w:numId w:val="1"/>
        </w:numPr>
        <w:jc w:val="both"/>
        <w:rPr>
          <w:b/>
        </w:rPr>
      </w:pPr>
      <w:r>
        <w:rPr>
          <w:b/>
        </w:rPr>
        <w:t>Apbalvošana:</w:t>
      </w:r>
    </w:p>
    <w:p w:rsidR="00EB5027" w:rsidRPr="00425E1A" w:rsidRDefault="00425E1A" w:rsidP="00425E1A">
      <w:pPr>
        <w:pStyle w:val="Standard"/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 </w:t>
      </w:r>
      <w:r w:rsidR="00746CD3">
        <w:t>Pirmo trīs vietu ieguvēji tiek apbalvoti ar kausiem un simboliskām naudas balvām no iemaksām.</w:t>
      </w:r>
    </w:p>
    <w:p w:rsidR="00EB5027" w:rsidRDefault="00746CD3" w:rsidP="00425E1A">
      <w:pPr>
        <w:pStyle w:val="Standard"/>
        <w:numPr>
          <w:ilvl w:val="0"/>
          <w:numId w:val="1"/>
        </w:numPr>
        <w:jc w:val="both"/>
        <w:rPr>
          <w:b/>
        </w:rPr>
      </w:pPr>
      <w:r>
        <w:rPr>
          <w:b/>
        </w:rPr>
        <w:t>Vietu noteikšanas kārtība</w:t>
      </w:r>
      <w:r w:rsidR="00425E1A">
        <w:rPr>
          <w:b/>
        </w:rPr>
        <w:t>:</w:t>
      </w:r>
    </w:p>
    <w:p w:rsidR="00EB5027" w:rsidRPr="00425E1A" w:rsidRDefault="00746CD3" w:rsidP="00425E1A">
      <w:pPr>
        <w:pStyle w:val="Standard"/>
        <w:numPr>
          <w:ilvl w:val="1"/>
          <w:numId w:val="1"/>
        </w:numPr>
        <w:jc w:val="both"/>
        <w:rPr>
          <w:b/>
        </w:rPr>
      </w:pPr>
      <w:r>
        <w:t xml:space="preserve">Uzlabotais </w:t>
      </w:r>
      <w:proofErr w:type="spellStart"/>
      <w:r>
        <w:t>Buholca</w:t>
      </w:r>
      <w:proofErr w:type="spellEnd"/>
      <w:r>
        <w:t xml:space="preserve"> koeficients (Mini </w:t>
      </w:r>
      <w:proofErr w:type="spellStart"/>
      <w:r>
        <w:t>Bucholcs</w:t>
      </w:r>
      <w:proofErr w:type="spellEnd"/>
      <w:r>
        <w:t>, atņemot zemāko punktu skaitu)</w:t>
      </w:r>
      <w:r w:rsidR="00425E1A">
        <w:t>;</w:t>
      </w:r>
    </w:p>
    <w:p w:rsidR="00EB5027" w:rsidRPr="00425E1A" w:rsidRDefault="00746CD3" w:rsidP="00425E1A">
      <w:pPr>
        <w:pStyle w:val="Standard"/>
        <w:numPr>
          <w:ilvl w:val="1"/>
          <w:numId w:val="1"/>
        </w:numPr>
        <w:jc w:val="both"/>
        <w:rPr>
          <w:b/>
        </w:rPr>
      </w:pPr>
      <w:proofErr w:type="spellStart"/>
      <w:r>
        <w:t>Buholca</w:t>
      </w:r>
      <w:proofErr w:type="spellEnd"/>
      <w:r>
        <w:t xml:space="preserve"> koeficients;</w:t>
      </w:r>
    </w:p>
    <w:p w:rsidR="00EB5027" w:rsidRPr="00425E1A" w:rsidRDefault="00746CD3" w:rsidP="00425E1A">
      <w:pPr>
        <w:pStyle w:val="Standard"/>
        <w:numPr>
          <w:ilvl w:val="1"/>
          <w:numId w:val="1"/>
        </w:numPr>
        <w:jc w:val="both"/>
        <w:rPr>
          <w:b/>
        </w:rPr>
      </w:pPr>
      <w:r>
        <w:t>Reitinga sasniegums turnīrā</w:t>
      </w:r>
      <w:r>
        <w:t>.</w:t>
      </w:r>
    </w:p>
    <w:p w:rsidR="00524DE5" w:rsidRDefault="00746CD3" w:rsidP="00524DE5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Citi noteikumi</w:t>
      </w:r>
      <w:r w:rsidR="00524DE5">
        <w:rPr>
          <w:b/>
          <w:bCs/>
        </w:rPr>
        <w:t>:</w:t>
      </w:r>
    </w:p>
    <w:p w:rsidR="00524DE5" w:rsidRPr="00524DE5" w:rsidRDefault="00746CD3" w:rsidP="00524DE5">
      <w:pPr>
        <w:pStyle w:val="Standard"/>
        <w:numPr>
          <w:ilvl w:val="1"/>
          <w:numId w:val="1"/>
        </w:numPr>
        <w:jc w:val="both"/>
        <w:rPr>
          <w:b/>
          <w:bCs/>
        </w:rPr>
      </w:pPr>
      <w:r>
        <w:t>Organizatori patur tiesības veikt nepieciešamās izmaiņas turnīr</w:t>
      </w:r>
      <w:r w:rsidR="00524DE5">
        <w:t>a nolikumā līdz turnīra sākumam;</w:t>
      </w:r>
    </w:p>
    <w:p w:rsidR="00524DE5" w:rsidRPr="00524DE5" w:rsidRDefault="00746CD3" w:rsidP="00524DE5">
      <w:pPr>
        <w:pStyle w:val="Standard"/>
        <w:numPr>
          <w:ilvl w:val="1"/>
          <w:numId w:val="1"/>
        </w:numPr>
        <w:jc w:val="both"/>
        <w:rPr>
          <w:b/>
          <w:bCs/>
        </w:rPr>
      </w:pPr>
      <w:r>
        <w:t xml:space="preserve"> Visus izdevumus, kas saistīti ar piedalīšanos sacensībās sedz paši dalībnieki vai komandējošās organizācijas. </w:t>
      </w:r>
    </w:p>
    <w:p w:rsidR="00524DE5" w:rsidRPr="00524DE5" w:rsidRDefault="00746CD3" w:rsidP="00524DE5">
      <w:pPr>
        <w:pStyle w:val="Standard"/>
        <w:numPr>
          <w:ilvl w:val="1"/>
          <w:numId w:val="1"/>
        </w:numPr>
        <w:jc w:val="both"/>
        <w:rPr>
          <w:b/>
          <w:bCs/>
        </w:rPr>
      </w:pPr>
      <w:r>
        <w:t>Par dalībnieka veselības stāvo</w:t>
      </w:r>
      <w:r>
        <w:t xml:space="preserve">kļa atbilstību sacensībām atbild pats dalībnieks vai organizācija, kas piesaka dalībnieku startam. </w:t>
      </w:r>
    </w:p>
    <w:p w:rsidR="00EB5027" w:rsidRPr="00524DE5" w:rsidRDefault="00746CD3" w:rsidP="00524DE5">
      <w:pPr>
        <w:pStyle w:val="Standard"/>
        <w:numPr>
          <w:ilvl w:val="1"/>
          <w:numId w:val="1"/>
        </w:numPr>
        <w:jc w:val="both"/>
        <w:rPr>
          <w:b/>
          <w:bCs/>
        </w:rPr>
      </w:pPr>
      <w:r>
        <w:t xml:space="preserve">Informējam, ka šis ir publisks pasākums, un tā norise var tikt atspoguļota plašsaziņas līdzekļos, fiksējot arī jūsu dalību šajā pasākumā. Pasākuma laikā var </w:t>
      </w:r>
      <w:r>
        <w:t>tikt veikta fotografēšana un filmēšana sabiedrības informēšanas mērķim atbilstoši Vispārīgās datu aizsardzī</w:t>
      </w:r>
      <w:r w:rsidR="00524DE5">
        <w:t xml:space="preserve">bas regulas </w:t>
      </w:r>
      <w:proofErr w:type="gramStart"/>
      <w:r w:rsidR="00524DE5">
        <w:t>6.panta</w:t>
      </w:r>
      <w:proofErr w:type="gramEnd"/>
      <w:r w:rsidR="00524DE5">
        <w:t xml:space="preserve"> 1.punkta e </w:t>
      </w:r>
      <w:r>
        <w:t xml:space="preserve">apakšpunktam. Fotogrāfijas un video tiks publicēti šaha un sporta nozares mājaslapās, </w:t>
      </w:r>
      <w:proofErr w:type="spellStart"/>
      <w:r>
        <w:t>www.sahafederacija.lv</w:t>
      </w:r>
      <w:proofErr w:type="spellEnd"/>
      <w:r>
        <w:t>; organiza</w:t>
      </w:r>
      <w:r>
        <w:t xml:space="preserve">tora sociālo mediju kontos. Turnīru rezultāti tiks publicēti: </w:t>
      </w:r>
      <w:proofErr w:type="spellStart"/>
      <w:r>
        <w:t>www.chess-results.com.</w:t>
      </w:r>
      <w:proofErr w:type="spellEnd"/>
      <w:r>
        <w:t xml:space="preserve"> Datu apstrādes termiņš – pastāvīgi</w:t>
      </w:r>
    </w:p>
    <w:p w:rsidR="00EB5027" w:rsidRDefault="00EB5027">
      <w:pPr>
        <w:pStyle w:val="Standard"/>
        <w:jc w:val="both"/>
      </w:pPr>
    </w:p>
    <w:p w:rsidR="00EB5027" w:rsidRDefault="00EB5027">
      <w:pPr>
        <w:pStyle w:val="Standard"/>
        <w:jc w:val="both"/>
      </w:pPr>
    </w:p>
    <w:p w:rsidR="00EB5027" w:rsidRDefault="00EB5027">
      <w:pPr>
        <w:pStyle w:val="Standard"/>
        <w:jc w:val="both"/>
        <w:rPr>
          <w:b/>
        </w:rPr>
      </w:pPr>
    </w:p>
    <w:p w:rsidR="00524DE5" w:rsidRDefault="00524DE5">
      <w:pPr>
        <w:pStyle w:val="Standard"/>
        <w:jc w:val="both"/>
        <w:rPr>
          <w:b/>
        </w:rPr>
      </w:pPr>
    </w:p>
    <w:p w:rsidR="00524DE5" w:rsidRDefault="00524DE5">
      <w:pPr>
        <w:pStyle w:val="Standard"/>
        <w:jc w:val="both"/>
        <w:rPr>
          <w:b/>
        </w:rPr>
      </w:pPr>
    </w:p>
    <w:p w:rsidR="00524DE5" w:rsidRDefault="00524DE5">
      <w:pPr>
        <w:pStyle w:val="Standard"/>
        <w:jc w:val="both"/>
        <w:rPr>
          <w:b/>
        </w:rPr>
      </w:pPr>
    </w:p>
    <w:p w:rsidR="00524DE5" w:rsidRDefault="00524DE5">
      <w:pPr>
        <w:pStyle w:val="Standard"/>
        <w:jc w:val="both"/>
        <w:rPr>
          <w:b/>
        </w:rPr>
      </w:pPr>
    </w:p>
    <w:p w:rsidR="00524DE5" w:rsidRDefault="00524DE5">
      <w:pPr>
        <w:pStyle w:val="Standard"/>
        <w:jc w:val="both"/>
        <w:rPr>
          <w:b/>
        </w:rPr>
      </w:pPr>
    </w:p>
    <w:p w:rsidR="00524DE5" w:rsidRDefault="00524DE5">
      <w:pPr>
        <w:pStyle w:val="Standard"/>
        <w:jc w:val="both"/>
        <w:rPr>
          <w:b/>
        </w:rPr>
      </w:pPr>
    </w:p>
    <w:p w:rsidR="00EB5027" w:rsidRDefault="00746CD3">
      <w:pPr>
        <w:pStyle w:val="Standard"/>
        <w:jc w:val="both"/>
        <w:rPr>
          <w:b/>
        </w:rPr>
      </w:pPr>
      <w:r>
        <w:rPr>
          <w:b/>
        </w:rPr>
        <w:t>Papildus informācija:</w:t>
      </w:r>
    </w:p>
    <w:p w:rsidR="00EB5027" w:rsidRDefault="00746CD3">
      <w:pPr>
        <w:pStyle w:val="Standard"/>
        <w:jc w:val="both"/>
      </w:pPr>
      <w:r>
        <w:t>Nokļūšana uz sacensību norises vietu ar auto, vilcienu vai autobusu. Dzelzceļa stacija atrodas 1km attālumā n</w:t>
      </w:r>
      <w:r>
        <w:t>o sacensību norises vietas, autobusa pietura 600m. Auto stāvvieta aiz kultūras nama.</w:t>
      </w:r>
    </w:p>
    <w:p w:rsidR="00EB5027" w:rsidRDefault="00746CD3">
      <w:pPr>
        <w:pStyle w:val="Standard"/>
        <w:jc w:val="both"/>
      </w:pPr>
      <w:r>
        <w:rPr>
          <w:noProof/>
          <w:lang w:eastAsia="lv-LV"/>
        </w:rPr>
        <w:drawing>
          <wp:inline distT="0" distB="0" distL="0" distR="0">
            <wp:extent cx="5934239" cy="3252600"/>
            <wp:effectExtent l="0" t="0" r="9361" b="4950"/>
            <wp:docPr id="3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239" cy="3252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B5027" w:rsidRDefault="00EB5027">
      <w:pPr>
        <w:pStyle w:val="Standard"/>
        <w:jc w:val="both"/>
      </w:pPr>
    </w:p>
    <w:sectPr w:rsidR="00EB5027" w:rsidSect="00524DE5">
      <w:headerReference w:type="default" r:id="rId10"/>
      <w:pgSz w:w="11906" w:h="16838"/>
      <w:pgMar w:top="495" w:right="720" w:bottom="720" w:left="720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D3" w:rsidRDefault="00746CD3">
      <w:pPr>
        <w:spacing w:after="0" w:line="240" w:lineRule="auto"/>
      </w:pPr>
      <w:r>
        <w:separator/>
      </w:r>
    </w:p>
  </w:endnote>
  <w:endnote w:type="continuationSeparator" w:id="0">
    <w:p w:rsidR="00746CD3" w:rsidRDefault="0074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D3" w:rsidRDefault="00746C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46CD3" w:rsidRDefault="0074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DE5" w:rsidRDefault="00524DE5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-457199</wp:posOffset>
          </wp:positionV>
          <wp:extent cx="1228725" cy="604184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143" cy="614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DE5">
      <w:rPr>
        <w:noProof/>
        <w:lang w:eastAsia="lv-L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4895850</wp:posOffset>
          </wp:positionH>
          <wp:positionV relativeFrom="paragraph">
            <wp:posOffset>-457200</wp:posOffset>
          </wp:positionV>
          <wp:extent cx="1495425" cy="599177"/>
          <wp:effectExtent l="0" t="0" r="0" b="0"/>
          <wp:wrapNone/>
          <wp:docPr id="7" name="Picture 7" descr="C:\Users\dome\Desktop\viskautkas\Ogres novada sporta centrs_H (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ome\Desktop\viskautkas\Ogres novada sporta centrs_H (2)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421" cy="603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DE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01194"/>
    <w:multiLevelType w:val="multilevel"/>
    <w:tmpl w:val="A06E1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B5027"/>
    <w:rsid w:val="00425E1A"/>
    <w:rsid w:val="00524DE5"/>
    <w:rsid w:val="00746CD3"/>
    <w:rsid w:val="00EB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BEA1795-8E8D-4543-962E-B4824214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lv-LV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Spacing">
    <w:name w:val="No Spacing"/>
    <w:pPr>
      <w:widowControl/>
      <w:spacing w:after="0" w:line="240" w:lineRule="auto"/>
    </w:p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Header">
    <w:name w:val="header"/>
    <w:basedOn w:val="Normal"/>
    <w:link w:val="HeaderChar"/>
    <w:uiPriority w:val="99"/>
    <w:unhideWhenUsed/>
    <w:rsid w:val="00524D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E5"/>
  </w:style>
  <w:style w:type="paragraph" w:styleId="Footer">
    <w:name w:val="footer"/>
    <w:basedOn w:val="Normal"/>
    <w:link w:val="FooterChar"/>
    <w:uiPriority w:val="99"/>
    <w:unhideWhenUsed/>
    <w:rsid w:val="00524D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rs7805@inbox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Aldis Viļums</dc:creator>
  <cp:lastModifiedBy>dome</cp:lastModifiedBy>
  <cp:revision>2</cp:revision>
  <cp:lastPrinted>2022-03-16T12:07:00Z</cp:lastPrinted>
  <dcterms:created xsi:type="dcterms:W3CDTF">2022-10-05T09:42:00Z</dcterms:created>
  <dcterms:modified xsi:type="dcterms:W3CDTF">2022-10-05T09:42:00Z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